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062A" w14:textId="77777777" w:rsidR="00F00376" w:rsidRDefault="00F00376" w:rsidP="00122A9E">
      <w:pPr>
        <w:spacing w:before="34"/>
        <w:ind w:left="360" w:hanging="180"/>
        <w:jc w:val="center"/>
        <w:rPr>
          <w:rFonts w:asciiTheme="minorHAnsi" w:hAnsiTheme="minorHAnsi" w:cstheme="minorHAnsi"/>
          <w:b/>
          <w:bCs/>
          <w:sz w:val="36"/>
          <w:szCs w:val="36"/>
        </w:rPr>
      </w:pPr>
      <w:r>
        <w:rPr>
          <w:rFonts w:asciiTheme="minorHAnsi" w:hAnsiTheme="minorHAnsi"/>
          <w:b/>
          <w:bCs/>
          <w:sz w:val="36"/>
          <w:szCs w:val="36"/>
        </w:rPr>
        <w:t xml:space="preserve">Plan 401(k) de swipejobs, Inc. </w:t>
      </w:r>
    </w:p>
    <w:p w14:paraId="45E0FFF4" w14:textId="7ED5018A" w:rsidR="00892AE9" w:rsidRDefault="00636E01" w:rsidP="00122A9E">
      <w:pPr>
        <w:spacing w:before="34"/>
        <w:ind w:left="360" w:hanging="180"/>
        <w:jc w:val="center"/>
        <w:rPr>
          <w:rFonts w:asciiTheme="minorHAnsi" w:hAnsiTheme="minorHAnsi" w:cstheme="minorHAnsi"/>
          <w:b/>
          <w:bCs/>
          <w:sz w:val="36"/>
          <w:szCs w:val="36"/>
        </w:rPr>
      </w:pPr>
      <w:r>
        <w:rPr>
          <w:rFonts w:asciiTheme="minorHAnsi" w:hAnsiTheme="minorHAnsi"/>
          <w:b/>
          <w:bCs/>
          <w:sz w:val="36"/>
          <w:szCs w:val="36"/>
        </w:rPr>
        <w:t>Aviso de igualación discrecional del empleador</w:t>
      </w:r>
    </w:p>
    <w:p w14:paraId="02358C84" w14:textId="7F23D602" w:rsidR="00E604C9" w:rsidRPr="00E604C9" w:rsidRDefault="00E604C9" w:rsidP="00122A9E">
      <w:pPr>
        <w:spacing w:before="34"/>
        <w:ind w:left="142" w:hanging="180"/>
        <w:jc w:val="center"/>
        <w:rPr>
          <w:rFonts w:asciiTheme="minorHAnsi" w:hAnsiTheme="minorHAnsi" w:cstheme="minorHAnsi"/>
          <w:b/>
          <w:bCs/>
          <w:sz w:val="24"/>
          <w:szCs w:val="24"/>
        </w:rPr>
      </w:pPr>
      <w:r>
        <w:rPr>
          <w:rFonts w:asciiTheme="minorHAnsi" w:hAnsiTheme="minorHAnsi"/>
          <w:b/>
          <w:bCs/>
          <w:sz w:val="24"/>
          <w:szCs w:val="24"/>
        </w:rPr>
        <w:t>Fecha del aviso: diciembre de 202</w:t>
      </w:r>
      <w:r w:rsidR="00667F69">
        <w:rPr>
          <w:rFonts w:asciiTheme="minorHAnsi" w:hAnsiTheme="minorHAnsi"/>
          <w:b/>
          <w:bCs/>
          <w:sz w:val="24"/>
          <w:szCs w:val="24"/>
        </w:rPr>
        <w:t>5</w:t>
      </w:r>
    </w:p>
    <w:p w14:paraId="09FC98EA" w14:textId="77777777" w:rsidR="00892AE9" w:rsidRPr="00122A9E" w:rsidRDefault="00892AE9" w:rsidP="00122A9E">
      <w:pPr>
        <w:spacing w:before="34"/>
        <w:ind w:left="142" w:hanging="180"/>
        <w:jc w:val="both"/>
        <w:rPr>
          <w:rFonts w:asciiTheme="minorHAnsi" w:hAnsiTheme="minorHAnsi" w:cstheme="minorHAnsi"/>
          <w:sz w:val="16"/>
          <w:szCs w:val="16"/>
        </w:rPr>
      </w:pPr>
    </w:p>
    <w:p w14:paraId="091D8003" w14:textId="5A657E85" w:rsidR="0088115C" w:rsidRDefault="00892AE9" w:rsidP="00B9749A">
      <w:pPr>
        <w:spacing w:before="34"/>
        <w:jc w:val="both"/>
        <w:rPr>
          <w:rFonts w:asciiTheme="minorHAnsi" w:hAnsiTheme="minorHAnsi" w:cstheme="minorHAnsi"/>
          <w:sz w:val="22"/>
          <w:szCs w:val="22"/>
        </w:rPr>
      </w:pPr>
      <w:r>
        <w:rPr>
          <w:rFonts w:asciiTheme="minorHAnsi" w:hAnsiTheme="minorHAnsi"/>
          <w:sz w:val="22"/>
          <w:szCs w:val="22"/>
        </w:rPr>
        <w:t>Este aviso se aplica al año del plan 202</w:t>
      </w:r>
      <w:r w:rsidR="00667F69">
        <w:rPr>
          <w:rFonts w:asciiTheme="minorHAnsi" w:hAnsiTheme="minorHAnsi"/>
          <w:sz w:val="22"/>
          <w:szCs w:val="22"/>
        </w:rPr>
        <w:t>5</w:t>
      </w:r>
      <w:r>
        <w:rPr>
          <w:rFonts w:asciiTheme="minorHAnsi" w:hAnsiTheme="minorHAnsi"/>
          <w:sz w:val="22"/>
          <w:szCs w:val="22"/>
        </w:rPr>
        <w:t xml:space="preserve"> y prevé comunicar información específica en relación con la igualación del empleador a nuestro plan de jubilación (la "igualación").  Puede encontrar más información sobre el Plan 401(k) de swipejobs, Inc. (el "Plan"), en la Descripción resumida del plan (SPD); puede solicitar una copia de la SPD a swipejobs, Inc.</w:t>
      </w:r>
    </w:p>
    <w:p w14:paraId="3EF08E9D" w14:textId="2D9BE8A4" w:rsidR="00892AE9" w:rsidRPr="00122A9E" w:rsidRDefault="00892AE9" w:rsidP="00122A9E">
      <w:pPr>
        <w:spacing w:before="34"/>
        <w:ind w:left="142" w:hanging="180"/>
        <w:jc w:val="both"/>
        <w:rPr>
          <w:rFonts w:asciiTheme="minorHAnsi" w:hAnsiTheme="minorHAnsi" w:cstheme="minorHAnsi"/>
          <w:sz w:val="16"/>
          <w:szCs w:val="16"/>
        </w:rPr>
      </w:pPr>
    </w:p>
    <w:p w14:paraId="7F567637" w14:textId="3F2A71A4" w:rsidR="00545D32" w:rsidRDefault="00892AE9" w:rsidP="00B9749A">
      <w:pPr>
        <w:spacing w:before="34"/>
        <w:jc w:val="both"/>
        <w:rPr>
          <w:rFonts w:asciiTheme="minorHAnsi" w:hAnsiTheme="minorHAnsi"/>
          <w:sz w:val="22"/>
          <w:szCs w:val="22"/>
        </w:rPr>
      </w:pPr>
      <w:r>
        <w:rPr>
          <w:rFonts w:asciiTheme="minorHAnsi" w:hAnsiTheme="minorHAnsi"/>
          <w:sz w:val="22"/>
          <w:szCs w:val="22"/>
        </w:rPr>
        <w:t>Si es un empleado elegible, puede optar por diferir una parte de su remuneración elegible al Plan. Además, es posible que tenga derecho a recibir una igualación del empleador para el año del plan 202</w:t>
      </w:r>
      <w:r w:rsidR="00667F69">
        <w:rPr>
          <w:rFonts w:asciiTheme="minorHAnsi" w:hAnsiTheme="minorHAnsi"/>
          <w:sz w:val="22"/>
          <w:szCs w:val="22"/>
        </w:rPr>
        <w:t>5</w:t>
      </w:r>
      <w:r>
        <w:rPr>
          <w:rFonts w:asciiTheme="minorHAnsi" w:hAnsiTheme="minorHAnsi"/>
          <w:sz w:val="22"/>
          <w:szCs w:val="22"/>
        </w:rPr>
        <w:t xml:space="preserve"> en función de los aportes que difiera al Plan. Usted es elegible para recibir un aporte de igualación si: </w:t>
      </w:r>
    </w:p>
    <w:p w14:paraId="1F1D16B4" w14:textId="55D618AB" w:rsidR="00E1279C" w:rsidRPr="00E1279C" w:rsidRDefault="00E1279C" w:rsidP="00E1279C">
      <w:pPr>
        <w:pStyle w:val="ListParagraph"/>
        <w:numPr>
          <w:ilvl w:val="0"/>
          <w:numId w:val="6"/>
        </w:numPr>
        <w:rPr>
          <w:rFonts w:asciiTheme="minorHAnsi" w:hAnsiTheme="minorHAnsi" w:cstheme="minorHAnsi"/>
          <w:sz w:val="22"/>
          <w:szCs w:val="22"/>
          <w:lang w:val="es-419"/>
        </w:rPr>
      </w:pPr>
      <w:r w:rsidRPr="008E631A">
        <w:rPr>
          <w:rFonts w:asciiTheme="minorHAnsi" w:hAnsiTheme="minorHAnsi" w:cstheme="minorHAnsi"/>
          <w:sz w:val="22"/>
          <w:szCs w:val="22"/>
        </w:rPr>
        <w:t xml:space="preserve">Tiene 21 </w:t>
      </w:r>
      <w:proofErr w:type="gramStart"/>
      <w:r w:rsidRPr="008E631A">
        <w:rPr>
          <w:rFonts w:asciiTheme="minorHAnsi" w:hAnsiTheme="minorHAnsi" w:cstheme="minorHAnsi"/>
          <w:sz w:val="22"/>
          <w:szCs w:val="22"/>
        </w:rPr>
        <w:t>años de edad</w:t>
      </w:r>
      <w:proofErr w:type="gramEnd"/>
      <w:r w:rsidRPr="008E631A">
        <w:rPr>
          <w:rFonts w:asciiTheme="minorHAnsi" w:hAnsiTheme="minorHAnsi" w:cstheme="minorHAnsi"/>
          <w:sz w:val="22"/>
          <w:szCs w:val="22"/>
        </w:rPr>
        <w:t xml:space="preserve"> como mínimo</w:t>
      </w:r>
    </w:p>
    <w:p w14:paraId="4C2F0B6A" w14:textId="125A7615" w:rsidR="008E631A" w:rsidRDefault="008E631A" w:rsidP="008E631A">
      <w:pPr>
        <w:pStyle w:val="ListParagraph"/>
        <w:numPr>
          <w:ilvl w:val="0"/>
          <w:numId w:val="6"/>
        </w:numPr>
        <w:rPr>
          <w:rFonts w:asciiTheme="minorHAnsi" w:hAnsiTheme="minorHAnsi" w:cstheme="minorHAnsi"/>
          <w:sz w:val="22"/>
          <w:szCs w:val="22"/>
          <w:lang w:val="es-419"/>
        </w:rPr>
      </w:pPr>
      <w:r w:rsidRPr="008E631A">
        <w:rPr>
          <w:rFonts w:asciiTheme="minorHAnsi" w:hAnsiTheme="minorHAnsi" w:cstheme="minorHAnsi"/>
          <w:sz w:val="22"/>
          <w:szCs w:val="22"/>
          <w:lang w:val="es-419"/>
        </w:rPr>
        <w:t xml:space="preserve">Ha completado </w:t>
      </w:r>
      <w:r w:rsidR="00017EC5" w:rsidRPr="008E631A">
        <w:rPr>
          <w:rFonts w:asciiTheme="minorHAnsi" w:hAnsiTheme="minorHAnsi" w:cstheme="minorHAnsi"/>
          <w:sz w:val="22"/>
          <w:szCs w:val="22"/>
        </w:rPr>
        <w:t>año</w:t>
      </w:r>
      <w:r w:rsidR="00017EC5">
        <w:rPr>
          <w:rFonts w:asciiTheme="minorHAnsi" w:hAnsiTheme="minorHAnsi" w:cstheme="minorHAnsi"/>
          <w:sz w:val="22"/>
          <w:szCs w:val="22"/>
          <w:lang w:val="es-419"/>
        </w:rPr>
        <w:t xml:space="preserve"> de servicio más 1000 horas</w:t>
      </w:r>
    </w:p>
    <w:p w14:paraId="73443F85" w14:textId="77777777" w:rsidR="00BE4D5D" w:rsidRPr="00122A9E" w:rsidRDefault="00BE4D5D" w:rsidP="008E631A">
      <w:pPr>
        <w:spacing w:before="34"/>
        <w:jc w:val="both"/>
        <w:rPr>
          <w:rFonts w:asciiTheme="minorHAnsi" w:hAnsiTheme="minorHAnsi" w:cstheme="minorHAnsi"/>
          <w:sz w:val="16"/>
          <w:szCs w:val="16"/>
        </w:rPr>
      </w:pPr>
    </w:p>
    <w:p w14:paraId="2A3F17E1" w14:textId="421C29A0" w:rsidR="00383B60" w:rsidRDefault="008C4B37" w:rsidP="00B9749A">
      <w:pPr>
        <w:spacing w:before="34"/>
        <w:ind w:hanging="38"/>
        <w:jc w:val="both"/>
        <w:rPr>
          <w:rFonts w:asciiTheme="minorHAnsi" w:hAnsiTheme="minorHAnsi" w:cstheme="minorHAnsi"/>
          <w:sz w:val="22"/>
          <w:szCs w:val="22"/>
        </w:rPr>
      </w:pPr>
      <w:r>
        <w:rPr>
          <w:rFonts w:asciiTheme="minorHAnsi" w:hAnsiTheme="minorHAnsi"/>
          <w:sz w:val="22"/>
          <w:szCs w:val="22"/>
        </w:rPr>
        <w:t>Para el año del plan que comienza el 1 de enero de 202</w:t>
      </w:r>
      <w:r w:rsidR="00667F69">
        <w:rPr>
          <w:rFonts w:asciiTheme="minorHAnsi" w:hAnsiTheme="minorHAnsi"/>
          <w:sz w:val="22"/>
          <w:szCs w:val="22"/>
        </w:rPr>
        <w:t>5</w:t>
      </w:r>
      <w:r>
        <w:rPr>
          <w:rFonts w:asciiTheme="minorHAnsi" w:hAnsiTheme="minorHAnsi"/>
          <w:sz w:val="22"/>
          <w:szCs w:val="22"/>
        </w:rPr>
        <w:t xml:space="preserve">, nuestra igualación es: 25 % de la remuneración (tope de 5,000) diferida al Plan. A los fines de calcular esta igualación, se calcula su remuneración cada período salarial. Esto se conoce mejor como el período de cálculo. </w:t>
      </w:r>
    </w:p>
    <w:p w14:paraId="7E700F39" w14:textId="77777777" w:rsidR="00383B60" w:rsidRPr="00122A9E" w:rsidRDefault="00383B60" w:rsidP="00122A9E">
      <w:pPr>
        <w:spacing w:before="34"/>
        <w:ind w:left="142" w:hanging="180"/>
        <w:jc w:val="both"/>
        <w:rPr>
          <w:rFonts w:asciiTheme="minorHAnsi" w:hAnsiTheme="minorHAnsi" w:cstheme="minorHAnsi"/>
          <w:sz w:val="16"/>
          <w:szCs w:val="16"/>
        </w:rPr>
      </w:pPr>
    </w:p>
    <w:p w14:paraId="778E2FAC" w14:textId="6980AE57" w:rsidR="00892AE9" w:rsidRDefault="00B6135C" w:rsidP="00122A9E">
      <w:pPr>
        <w:spacing w:before="34"/>
        <w:ind w:left="142" w:hanging="180"/>
        <w:jc w:val="both"/>
        <w:rPr>
          <w:rFonts w:asciiTheme="minorHAnsi" w:hAnsiTheme="minorHAnsi" w:cstheme="minorHAnsi"/>
          <w:sz w:val="22"/>
          <w:szCs w:val="22"/>
        </w:rPr>
      </w:pPr>
      <w:r>
        <w:rPr>
          <w:rFonts w:asciiTheme="minorHAnsi" w:hAnsiTheme="minorHAnsi"/>
          <w:sz w:val="22"/>
          <w:szCs w:val="22"/>
        </w:rPr>
        <w:t xml:space="preserve">En nuestro Plan, puede elegir hacer aportes antes de impuestos, Roth o una combinación de estos tipos: </w:t>
      </w:r>
    </w:p>
    <w:p w14:paraId="211BD91B" w14:textId="2FC76D0E" w:rsidR="004D38AD" w:rsidRDefault="004D38AD" w:rsidP="00B9749A">
      <w:pPr>
        <w:pStyle w:val="ListParagraph"/>
        <w:numPr>
          <w:ilvl w:val="0"/>
          <w:numId w:val="2"/>
        </w:numPr>
        <w:spacing w:before="34"/>
        <w:ind w:left="709" w:hanging="180"/>
        <w:jc w:val="both"/>
        <w:rPr>
          <w:rFonts w:asciiTheme="minorHAnsi" w:hAnsiTheme="minorHAnsi" w:cstheme="minorHAnsi"/>
          <w:sz w:val="22"/>
          <w:szCs w:val="22"/>
        </w:rPr>
      </w:pPr>
      <w:r>
        <w:rPr>
          <w:rFonts w:asciiTheme="minorHAnsi" w:hAnsiTheme="minorHAnsi"/>
          <w:b/>
          <w:bCs/>
          <w:sz w:val="22"/>
          <w:szCs w:val="22"/>
        </w:rPr>
        <w:t>Antes de impuestos:</w:t>
      </w:r>
      <w:r>
        <w:rPr>
          <w:rFonts w:asciiTheme="minorHAnsi" w:hAnsiTheme="minorHAnsi"/>
          <w:sz w:val="22"/>
          <w:szCs w:val="22"/>
        </w:rPr>
        <w:t xml:space="preserve"> los impuestos sobre los ingresos en aportes y ganancias se difieren hasta que el plan los distribuya; tras la distribución, los diferimientos y las ganancias aplicables están sujetos a tributación. </w:t>
      </w:r>
    </w:p>
    <w:p w14:paraId="3FE0F0E8" w14:textId="454B63B2" w:rsidR="002A3AED" w:rsidRPr="00EF47DC" w:rsidRDefault="004D38AD" w:rsidP="00B9749A">
      <w:pPr>
        <w:pStyle w:val="ListParagraph"/>
        <w:numPr>
          <w:ilvl w:val="0"/>
          <w:numId w:val="2"/>
        </w:numPr>
        <w:spacing w:before="34"/>
        <w:ind w:left="709" w:hanging="180"/>
        <w:jc w:val="both"/>
        <w:rPr>
          <w:rFonts w:asciiTheme="minorHAnsi" w:hAnsiTheme="minorHAnsi" w:cstheme="minorHAnsi"/>
          <w:sz w:val="22"/>
          <w:szCs w:val="22"/>
        </w:rPr>
      </w:pPr>
      <w:r>
        <w:rPr>
          <w:rFonts w:asciiTheme="minorHAnsi" w:hAnsiTheme="minorHAnsi"/>
          <w:b/>
          <w:bCs/>
          <w:sz w:val="22"/>
          <w:szCs w:val="22"/>
        </w:rPr>
        <w:t>Roth:</w:t>
      </w:r>
      <w:r>
        <w:rPr>
          <w:rFonts w:asciiTheme="minorHAnsi" w:hAnsiTheme="minorHAnsi"/>
          <w:sz w:val="22"/>
          <w:szCs w:val="22"/>
        </w:rPr>
        <w:t xml:space="preserve"> los aportes están sujetos al impuesto sobre los ingresos en el momento del diferimiento (año actual); no obstante, las distribuciones calificadas no se tributan*. </w:t>
      </w:r>
    </w:p>
    <w:p w14:paraId="37207A98" w14:textId="77777777" w:rsidR="00667F69" w:rsidRDefault="00667F69" w:rsidP="00B9749A">
      <w:pPr>
        <w:spacing w:before="34"/>
        <w:jc w:val="both"/>
        <w:rPr>
          <w:rFonts w:asciiTheme="minorHAnsi" w:hAnsiTheme="minorHAnsi"/>
          <w:sz w:val="22"/>
          <w:szCs w:val="22"/>
        </w:rPr>
      </w:pPr>
    </w:p>
    <w:p w14:paraId="0861D911" w14:textId="4D75B152" w:rsidR="00EF47DC" w:rsidRDefault="00EF47DC" w:rsidP="00B9749A">
      <w:pPr>
        <w:spacing w:before="34"/>
        <w:jc w:val="both"/>
        <w:rPr>
          <w:rFonts w:asciiTheme="minorHAnsi" w:hAnsiTheme="minorHAnsi" w:cstheme="minorHAnsi"/>
          <w:sz w:val="22"/>
          <w:szCs w:val="22"/>
        </w:rPr>
      </w:pPr>
      <w:r>
        <w:rPr>
          <w:rFonts w:asciiTheme="minorHAnsi" w:hAnsiTheme="minorHAnsi"/>
          <w:sz w:val="22"/>
          <w:szCs w:val="22"/>
        </w:rPr>
        <w:t xml:space="preserve">Su decisión de hacer aportes antes de impuestos o Roth no afecta su elegibilidad para recibir la igualación. Sin embargo, la igualación se hace antes de impuestos y se considera tributable tras la distribución. </w:t>
      </w:r>
    </w:p>
    <w:p w14:paraId="7B08B154" w14:textId="1787E751" w:rsidR="007E0456" w:rsidRPr="00122A9E" w:rsidRDefault="007E0456" w:rsidP="00122A9E">
      <w:pPr>
        <w:spacing w:before="34"/>
        <w:ind w:left="142" w:hanging="180"/>
        <w:jc w:val="both"/>
        <w:rPr>
          <w:rFonts w:asciiTheme="minorHAnsi" w:hAnsiTheme="minorHAnsi" w:cstheme="minorHAnsi"/>
          <w:sz w:val="16"/>
          <w:szCs w:val="16"/>
        </w:rPr>
      </w:pPr>
    </w:p>
    <w:p w14:paraId="3AC5B3C6" w14:textId="71D747A8" w:rsidR="004275BC" w:rsidRDefault="007E0456" w:rsidP="00B9749A">
      <w:pPr>
        <w:spacing w:before="34"/>
        <w:jc w:val="both"/>
        <w:rPr>
          <w:rFonts w:asciiTheme="minorHAnsi" w:hAnsiTheme="minorHAnsi" w:cstheme="minorHAnsi"/>
          <w:sz w:val="22"/>
          <w:szCs w:val="22"/>
        </w:rPr>
      </w:pPr>
      <w:r>
        <w:rPr>
          <w:rFonts w:asciiTheme="minorHAnsi" w:hAnsiTheme="minorHAnsi"/>
          <w:sz w:val="22"/>
          <w:szCs w:val="22"/>
        </w:rPr>
        <w:t xml:space="preserve">La igualación también está sujeta a un programa de adquisición de derechos. Revise el SPD para obtener información sobre la adquisición de derechos o vea el saldo de la cuenta con derechos adquiridos a través de Empower en </w:t>
      </w:r>
      <w:hyperlink r:id="rId10" w:history="1">
        <w:r>
          <w:rPr>
            <w:rStyle w:val="Hyperlink"/>
            <w:rFonts w:asciiTheme="minorHAnsi" w:hAnsiTheme="minorHAnsi"/>
            <w:sz w:val="22"/>
            <w:szCs w:val="22"/>
          </w:rPr>
          <w:t>www.Plan.Empower-Retirement.com</w:t>
        </w:r>
      </w:hyperlink>
      <w:r>
        <w:rPr>
          <w:rFonts w:asciiTheme="minorHAnsi" w:hAnsiTheme="minorHAnsi"/>
          <w:sz w:val="22"/>
          <w:szCs w:val="22"/>
        </w:rPr>
        <w:t xml:space="preserve"> o al 855.756.4738. La SPD también incluye detalles específicos de la elegibilidad del plan, el o los tipos de remuneración elegibles para los diferimientos y la igualación del plan de jubilación, el período para calcular la igualación y más. </w:t>
      </w:r>
    </w:p>
    <w:p w14:paraId="300723DE" w14:textId="1CF7B9D7" w:rsidR="00676DA5" w:rsidRPr="00122A9E" w:rsidRDefault="00676DA5" w:rsidP="00122A9E">
      <w:pPr>
        <w:spacing w:before="34"/>
        <w:ind w:left="142" w:hanging="180"/>
        <w:jc w:val="both"/>
        <w:rPr>
          <w:rFonts w:asciiTheme="minorHAnsi" w:hAnsiTheme="minorHAnsi" w:cstheme="minorHAnsi"/>
          <w:sz w:val="16"/>
          <w:szCs w:val="16"/>
        </w:rPr>
      </w:pPr>
    </w:p>
    <w:p w14:paraId="4EC8BBDF" w14:textId="3DB13872" w:rsidR="00204F76" w:rsidRDefault="009D4930" w:rsidP="00B9749A">
      <w:pPr>
        <w:spacing w:before="34"/>
        <w:jc w:val="both"/>
        <w:rPr>
          <w:rFonts w:asciiTheme="minorHAnsi" w:hAnsiTheme="minorHAnsi" w:cstheme="minorHAnsi"/>
          <w:sz w:val="22"/>
          <w:szCs w:val="22"/>
        </w:rPr>
      </w:pPr>
      <w:r>
        <w:rPr>
          <w:rFonts w:asciiTheme="minorHAnsi" w:hAnsiTheme="minorHAnsi"/>
          <w:sz w:val="22"/>
          <w:szCs w:val="22"/>
        </w:rPr>
        <w:t xml:space="preserve">Periódicamente, podemos hacer cambios en el plan. Los cambios en la información de la SPD se describirán en el Resumen de modificaciones del material o la SPD revisada, y están disponibles para su revisión.  </w:t>
      </w:r>
    </w:p>
    <w:p w14:paraId="6E394749" w14:textId="77777777" w:rsidR="00204F76" w:rsidRPr="00122A9E" w:rsidRDefault="00204F76" w:rsidP="00122A9E">
      <w:pPr>
        <w:spacing w:before="34"/>
        <w:ind w:left="142" w:hanging="180"/>
        <w:jc w:val="both"/>
        <w:rPr>
          <w:rFonts w:asciiTheme="minorHAnsi" w:hAnsiTheme="minorHAnsi" w:cstheme="minorHAnsi"/>
          <w:sz w:val="16"/>
          <w:szCs w:val="16"/>
        </w:rPr>
      </w:pPr>
    </w:p>
    <w:p w14:paraId="3EA3A154" w14:textId="520B8A26" w:rsidR="002A3AED" w:rsidRDefault="009D4930" w:rsidP="00B9749A">
      <w:pPr>
        <w:spacing w:before="34"/>
        <w:jc w:val="both"/>
        <w:rPr>
          <w:rFonts w:asciiTheme="minorHAnsi" w:hAnsiTheme="minorHAnsi"/>
          <w:sz w:val="22"/>
          <w:szCs w:val="22"/>
        </w:rPr>
      </w:pPr>
      <w:r>
        <w:rPr>
          <w:rFonts w:asciiTheme="minorHAnsi" w:hAnsiTheme="minorHAnsi"/>
          <w:sz w:val="22"/>
          <w:szCs w:val="22"/>
        </w:rPr>
        <w:t xml:space="preserve">Si tiene preguntas sobre este aviso, comuníquese con: Bella Jorgensen en </w:t>
      </w:r>
      <w:hyperlink r:id="rId11" w:history="1">
        <w:r>
          <w:rPr>
            <w:rStyle w:val="Hyperlink"/>
            <w:rFonts w:asciiTheme="minorHAnsi" w:hAnsiTheme="minorHAnsi"/>
            <w:sz w:val="22"/>
            <w:szCs w:val="22"/>
          </w:rPr>
          <w:t>bella@swipejobs.com</w:t>
        </w:r>
      </w:hyperlink>
      <w:r>
        <w:rPr>
          <w:rFonts w:asciiTheme="minorHAnsi" w:hAnsiTheme="minorHAnsi"/>
          <w:sz w:val="22"/>
          <w:szCs w:val="22"/>
        </w:rPr>
        <w:t xml:space="preserve"> o por teléfono al 319.512.7470.</w:t>
      </w:r>
    </w:p>
    <w:p w14:paraId="1FBFC10D" w14:textId="77777777" w:rsidR="00122A9E" w:rsidRDefault="00122A9E" w:rsidP="00122A9E">
      <w:pPr>
        <w:spacing w:before="34"/>
        <w:ind w:left="142" w:hanging="180"/>
        <w:jc w:val="both"/>
        <w:rPr>
          <w:rFonts w:asciiTheme="minorHAnsi" w:hAnsiTheme="minorHAnsi"/>
          <w:sz w:val="22"/>
          <w:szCs w:val="22"/>
        </w:rPr>
      </w:pPr>
    </w:p>
    <w:p w14:paraId="79F598BC" w14:textId="70E386B7" w:rsidR="00122A9E" w:rsidRPr="00122A9E" w:rsidRDefault="00122A9E" w:rsidP="00122A9E">
      <w:pPr>
        <w:spacing w:before="34"/>
        <w:ind w:left="142" w:hanging="180"/>
        <w:jc w:val="both"/>
        <w:rPr>
          <w:rFonts w:asciiTheme="minorHAnsi" w:hAnsiTheme="minorHAnsi" w:cstheme="minorHAnsi"/>
          <w:sz w:val="16"/>
          <w:szCs w:val="16"/>
        </w:rPr>
      </w:pPr>
      <w:r>
        <w:rPr>
          <w:rFonts w:asciiTheme="minorHAnsi" w:hAnsiTheme="minorHAnsi"/>
          <w:sz w:val="16"/>
          <w:szCs w:val="16"/>
        </w:rPr>
        <w:t>* Si se admite una distribución Roth, cualquier ganancia de inversión no estará sujeta al impuesto sobre los ingresos cuando se distribuya. Las distribuciones Roth se admitirán solo si la distribución sucede después de los 59 años y medio, el fallecimiento o la discapacidad, y no sucede antes del final del período de 5 años que comienza con el primer año tributable para el que hace un diferimiento Roth al Plan.</w:t>
      </w:r>
    </w:p>
    <w:sectPr w:rsidR="00122A9E" w:rsidRPr="00122A9E" w:rsidSect="00122A9E">
      <w:footerReference w:type="default" r:id="rId12"/>
      <w:pgSz w:w="12240" w:h="15840"/>
      <w:pgMar w:top="1440" w:right="1183" w:bottom="1440" w:left="1440" w:header="743" w:footer="684"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1BAD" w14:textId="77777777" w:rsidR="00B272B1" w:rsidRDefault="00B272B1" w:rsidP="002A3AED">
      <w:r>
        <w:separator/>
      </w:r>
    </w:p>
  </w:endnote>
  <w:endnote w:type="continuationSeparator" w:id="0">
    <w:p w14:paraId="2111EC13" w14:textId="77777777" w:rsidR="00B272B1" w:rsidRDefault="00B272B1" w:rsidP="002A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E7CF" w14:textId="77777777" w:rsidR="00122A9E" w:rsidRPr="001F37B1" w:rsidRDefault="00122A9E" w:rsidP="00122A9E">
    <w:pPr>
      <w:spacing w:before="34"/>
      <w:ind w:left="150" w:right="74"/>
      <w:jc w:val="both"/>
      <w:rPr>
        <w:rFonts w:asciiTheme="minorHAnsi" w:hAnsiTheme="minorHAnsi" w:cstheme="minorHAnsi"/>
        <w:sz w:val="22"/>
        <w:szCs w:val="22"/>
      </w:rPr>
    </w:pPr>
  </w:p>
  <w:p w14:paraId="09F24580" w14:textId="77777777" w:rsidR="00122A9E" w:rsidRPr="00122A9E" w:rsidRDefault="00122A9E" w:rsidP="0012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F786" w14:textId="77777777" w:rsidR="00B272B1" w:rsidRDefault="00B272B1" w:rsidP="002A3AED">
      <w:r>
        <w:separator/>
      </w:r>
    </w:p>
  </w:footnote>
  <w:footnote w:type="continuationSeparator" w:id="0">
    <w:p w14:paraId="0127B3FF" w14:textId="77777777" w:rsidR="00B272B1" w:rsidRDefault="00B272B1" w:rsidP="002A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0B1"/>
    <w:multiLevelType w:val="hybridMultilevel"/>
    <w:tmpl w:val="7328219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2E0526DF"/>
    <w:multiLevelType w:val="hybridMultilevel"/>
    <w:tmpl w:val="F5E64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016FAC"/>
    <w:multiLevelType w:val="hybridMultilevel"/>
    <w:tmpl w:val="C3E8100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 w15:restartNumberingAfterBreak="0">
    <w:nsid w:val="41A9298D"/>
    <w:multiLevelType w:val="hybridMultilevel"/>
    <w:tmpl w:val="5F70C26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44646248"/>
    <w:multiLevelType w:val="hybridMultilevel"/>
    <w:tmpl w:val="41085AA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50FA508F"/>
    <w:multiLevelType w:val="hybridMultilevel"/>
    <w:tmpl w:val="7C0A163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917832939">
    <w:abstractNumId w:val="5"/>
  </w:num>
  <w:num w:numId="2" w16cid:durableId="1370911638">
    <w:abstractNumId w:val="4"/>
  </w:num>
  <w:num w:numId="3" w16cid:durableId="1509829265">
    <w:abstractNumId w:val="1"/>
  </w:num>
  <w:num w:numId="4" w16cid:durableId="801850586">
    <w:abstractNumId w:val="0"/>
  </w:num>
  <w:num w:numId="5" w16cid:durableId="452332539">
    <w:abstractNumId w:val="3"/>
  </w:num>
  <w:num w:numId="6" w16cid:durableId="203792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E9"/>
    <w:rsid w:val="00010788"/>
    <w:rsid w:val="00017EC5"/>
    <w:rsid w:val="00027E86"/>
    <w:rsid w:val="000844F7"/>
    <w:rsid w:val="00087CFA"/>
    <w:rsid w:val="00097B0D"/>
    <w:rsid w:val="000A19C4"/>
    <w:rsid w:val="000B1DF2"/>
    <w:rsid w:val="000B3575"/>
    <w:rsid w:val="00122A9E"/>
    <w:rsid w:val="001270CA"/>
    <w:rsid w:val="001404B4"/>
    <w:rsid w:val="00163D2E"/>
    <w:rsid w:val="00192EA5"/>
    <w:rsid w:val="001F37B1"/>
    <w:rsid w:val="00204F76"/>
    <w:rsid w:val="00215575"/>
    <w:rsid w:val="00216A07"/>
    <w:rsid w:val="00232945"/>
    <w:rsid w:val="002769C5"/>
    <w:rsid w:val="00297D27"/>
    <w:rsid w:val="002A3AED"/>
    <w:rsid w:val="002A78F8"/>
    <w:rsid w:val="002B6D8C"/>
    <w:rsid w:val="002C049E"/>
    <w:rsid w:val="002C04F6"/>
    <w:rsid w:val="002D23CC"/>
    <w:rsid w:val="002D460C"/>
    <w:rsid w:val="002E370C"/>
    <w:rsid w:val="002E52DA"/>
    <w:rsid w:val="00376A35"/>
    <w:rsid w:val="0038257D"/>
    <w:rsid w:val="00383B60"/>
    <w:rsid w:val="003B0103"/>
    <w:rsid w:val="003B7006"/>
    <w:rsid w:val="003D6924"/>
    <w:rsid w:val="003D7327"/>
    <w:rsid w:val="003E4848"/>
    <w:rsid w:val="00423A10"/>
    <w:rsid w:val="004275BC"/>
    <w:rsid w:val="0044421D"/>
    <w:rsid w:val="004570D1"/>
    <w:rsid w:val="004606DC"/>
    <w:rsid w:val="0046626D"/>
    <w:rsid w:val="004916E0"/>
    <w:rsid w:val="00492AC9"/>
    <w:rsid w:val="00493218"/>
    <w:rsid w:val="004B3E5C"/>
    <w:rsid w:val="004D38AD"/>
    <w:rsid w:val="004D631F"/>
    <w:rsid w:val="004F3220"/>
    <w:rsid w:val="00513179"/>
    <w:rsid w:val="00526265"/>
    <w:rsid w:val="00545D32"/>
    <w:rsid w:val="00565B50"/>
    <w:rsid w:val="005A05DE"/>
    <w:rsid w:val="005A490F"/>
    <w:rsid w:val="005B2051"/>
    <w:rsid w:val="005B4857"/>
    <w:rsid w:val="005C0EBE"/>
    <w:rsid w:val="005F0245"/>
    <w:rsid w:val="00624A0C"/>
    <w:rsid w:val="00636E01"/>
    <w:rsid w:val="00645C90"/>
    <w:rsid w:val="00663447"/>
    <w:rsid w:val="00667F69"/>
    <w:rsid w:val="00676DA5"/>
    <w:rsid w:val="006C16A1"/>
    <w:rsid w:val="006C284D"/>
    <w:rsid w:val="006E4556"/>
    <w:rsid w:val="006F525B"/>
    <w:rsid w:val="007019F0"/>
    <w:rsid w:val="00714806"/>
    <w:rsid w:val="00736DE1"/>
    <w:rsid w:val="007428BA"/>
    <w:rsid w:val="007672FD"/>
    <w:rsid w:val="007A0400"/>
    <w:rsid w:val="007E0456"/>
    <w:rsid w:val="0080648C"/>
    <w:rsid w:val="0081117C"/>
    <w:rsid w:val="00824B24"/>
    <w:rsid w:val="00842606"/>
    <w:rsid w:val="00864B2D"/>
    <w:rsid w:val="00875090"/>
    <w:rsid w:val="0088115C"/>
    <w:rsid w:val="00892AE9"/>
    <w:rsid w:val="00897F7A"/>
    <w:rsid w:val="008C4B37"/>
    <w:rsid w:val="008E631A"/>
    <w:rsid w:val="008F1D98"/>
    <w:rsid w:val="009149E2"/>
    <w:rsid w:val="00932FDC"/>
    <w:rsid w:val="00967801"/>
    <w:rsid w:val="00990173"/>
    <w:rsid w:val="00994428"/>
    <w:rsid w:val="009C162D"/>
    <w:rsid w:val="009C61CF"/>
    <w:rsid w:val="009D4930"/>
    <w:rsid w:val="009E2A56"/>
    <w:rsid w:val="00A043EF"/>
    <w:rsid w:val="00A21362"/>
    <w:rsid w:val="00A33DDB"/>
    <w:rsid w:val="00A36172"/>
    <w:rsid w:val="00A440B2"/>
    <w:rsid w:val="00A5017F"/>
    <w:rsid w:val="00A5369D"/>
    <w:rsid w:val="00A6020D"/>
    <w:rsid w:val="00A77911"/>
    <w:rsid w:val="00AC2F1F"/>
    <w:rsid w:val="00AD6312"/>
    <w:rsid w:val="00AD6C61"/>
    <w:rsid w:val="00B17579"/>
    <w:rsid w:val="00B272B1"/>
    <w:rsid w:val="00B33809"/>
    <w:rsid w:val="00B40C53"/>
    <w:rsid w:val="00B6135C"/>
    <w:rsid w:val="00B925CB"/>
    <w:rsid w:val="00B9749A"/>
    <w:rsid w:val="00BD41C6"/>
    <w:rsid w:val="00BE4D5D"/>
    <w:rsid w:val="00C03F5A"/>
    <w:rsid w:val="00C3055F"/>
    <w:rsid w:val="00C30A49"/>
    <w:rsid w:val="00C31142"/>
    <w:rsid w:val="00C5504B"/>
    <w:rsid w:val="00C656FD"/>
    <w:rsid w:val="00CC1649"/>
    <w:rsid w:val="00CE455C"/>
    <w:rsid w:val="00CE7EA3"/>
    <w:rsid w:val="00D3191C"/>
    <w:rsid w:val="00D3489E"/>
    <w:rsid w:val="00D53CBF"/>
    <w:rsid w:val="00D85161"/>
    <w:rsid w:val="00DD0DB8"/>
    <w:rsid w:val="00DE2FC7"/>
    <w:rsid w:val="00E03E4C"/>
    <w:rsid w:val="00E1279C"/>
    <w:rsid w:val="00E20DA2"/>
    <w:rsid w:val="00E31BF8"/>
    <w:rsid w:val="00E43DFE"/>
    <w:rsid w:val="00E46127"/>
    <w:rsid w:val="00E57166"/>
    <w:rsid w:val="00E604C9"/>
    <w:rsid w:val="00E60C48"/>
    <w:rsid w:val="00EB266A"/>
    <w:rsid w:val="00EF47DC"/>
    <w:rsid w:val="00EF6FCD"/>
    <w:rsid w:val="00F00376"/>
    <w:rsid w:val="00F03B57"/>
    <w:rsid w:val="00F167EF"/>
    <w:rsid w:val="00F25E64"/>
    <w:rsid w:val="00FA77BC"/>
    <w:rsid w:val="00FA78E8"/>
    <w:rsid w:val="00FB347F"/>
    <w:rsid w:val="00FC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4C0F63"/>
  <w15:chartTrackingRefBased/>
  <w15:docId w15:val="{A6653428-1CFB-4BDF-8313-FE475635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E9"/>
    <w:pPr>
      <w:ind w:left="720"/>
      <w:contextualSpacing/>
    </w:pPr>
  </w:style>
  <w:style w:type="paragraph" w:styleId="Header">
    <w:name w:val="header"/>
    <w:basedOn w:val="Normal"/>
    <w:link w:val="HeaderChar"/>
    <w:uiPriority w:val="99"/>
    <w:unhideWhenUsed/>
    <w:rsid w:val="002A3AED"/>
    <w:pPr>
      <w:tabs>
        <w:tab w:val="center" w:pos="4680"/>
        <w:tab w:val="right" w:pos="9360"/>
      </w:tabs>
    </w:pPr>
  </w:style>
  <w:style w:type="character" w:customStyle="1" w:styleId="HeaderChar">
    <w:name w:val="Header Char"/>
    <w:basedOn w:val="DefaultParagraphFont"/>
    <w:link w:val="Header"/>
    <w:uiPriority w:val="99"/>
    <w:rsid w:val="002A3A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3AED"/>
    <w:pPr>
      <w:tabs>
        <w:tab w:val="center" w:pos="4680"/>
        <w:tab w:val="right" w:pos="9360"/>
      </w:tabs>
    </w:pPr>
  </w:style>
  <w:style w:type="character" w:customStyle="1" w:styleId="FooterChar">
    <w:name w:val="Footer Char"/>
    <w:basedOn w:val="DefaultParagraphFont"/>
    <w:link w:val="Footer"/>
    <w:uiPriority w:val="99"/>
    <w:rsid w:val="002A3AE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00376"/>
    <w:rPr>
      <w:color w:val="0563C1" w:themeColor="hyperlink"/>
      <w:u w:val="single"/>
    </w:rPr>
  </w:style>
  <w:style w:type="character" w:styleId="UnresolvedMention">
    <w:name w:val="Unresolved Mention"/>
    <w:basedOn w:val="DefaultParagraphFont"/>
    <w:uiPriority w:val="99"/>
    <w:semiHidden/>
    <w:unhideWhenUsed/>
    <w:rsid w:val="00F00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lla@swipejobs.com" TargetMode="External"/><Relationship Id="rId5" Type="http://schemas.openxmlformats.org/officeDocument/2006/relationships/styles" Target="styles.xml"/><Relationship Id="rId10" Type="http://schemas.openxmlformats.org/officeDocument/2006/relationships/hyperlink" Target="http://www.Plan.Empower-Retireme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c7bd50-a872-4c48-96a7-a648bfb975e9" xsi:nil="true"/>
    <lcf76f155ced4ddcb4097134ff3c332f xmlns="1cfbaf75-75ef-4e58-9333-bcfb17412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B6AF6C386DA34188224822D2C2C806" ma:contentTypeVersion="19" ma:contentTypeDescription="Create a new document." ma:contentTypeScope="" ma:versionID="c3140f10abbd846eb883e0e5e47bd28e">
  <xsd:schema xmlns:xsd="http://www.w3.org/2001/XMLSchema" xmlns:xs="http://www.w3.org/2001/XMLSchema" xmlns:p="http://schemas.microsoft.com/office/2006/metadata/properties" xmlns:ns1="http://schemas.microsoft.com/sharepoint/v3" xmlns:ns2="1cfbaf75-75ef-4e58-9333-bcfb17412c97" xmlns:ns3="42c7bd50-a872-4c48-96a7-a648bfb975e9" targetNamespace="http://schemas.microsoft.com/office/2006/metadata/properties" ma:root="true" ma:fieldsID="42353068557cb2fc02149daa656bbadb" ns1:_="" ns2:_="" ns3:_="">
    <xsd:import namespace="http://schemas.microsoft.com/sharepoint/v3"/>
    <xsd:import namespace="1cfbaf75-75ef-4e58-9333-bcfb17412c97"/>
    <xsd:import namespace="42c7bd50-a872-4c48-96a7-a648bfb975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baf75-75ef-4e58-9333-bcfb17412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20113b-2829-4b41-8f64-d1fecf044c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7bd50-a872-4c48-96a7-a648bfb975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347e7b-ad51-4958-834f-eb837e88e161}" ma:internalName="TaxCatchAll" ma:showField="CatchAllData" ma:web="42c7bd50-a872-4c48-96a7-a648bfb97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49B4D-12D9-4996-99AF-197FA695DBFC}">
  <ds:schemaRefs>
    <ds:schemaRef ds:uri="http://schemas.microsoft.com/office/2006/metadata/properties"/>
    <ds:schemaRef ds:uri="http://schemas.microsoft.com/office/infopath/2007/PartnerControls"/>
    <ds:schemaRef ds:uri="04923442-3b64-44c6-9555-f9a669b21a9f"/>
    <ds:schemaRef ds:uri="http://schemas.microsoft.com/sharepoint/v3"/>
    <ds:schemaRef ds:uri="42c7bd50-a872-4c48-96a7-a648bfb975e9"/>
    <ds:schemaRef ds:uri="1cfbaf75-75ef-4e58-9333-bcfb17412c97"/>
  </ds:schemaRefs>
</ds:datastoreItem>
</file>

<file path=customXml/itemProps2.xml><?xml version="1.0" encoding="utf-8"?>
<ds:datastoreItem xmlns:ds="http://schemas.openxmlformats.org/officeDocument/2006/customXml" ds:itemID="{2B9CD5DF-790E-45A0-811E-B6A1618E4249}">
  <ds:schemaRefs>
    <ds:schemaRef ds:uri="http://schemas.microsoft.com/sharepoint/v3/contenttype/forms"/>
  </ds:schemaRefs>
</ds:datastoreItem>
</file>

<file path=customXml/itemProps3.xml><?xml version="1.0" encoding="utf-8"?>
<ds:datastoreItem xmlns:ds="http://schemas.openxmlformats.org/officeDocument/2006/customXml" ds:itemID="{D6AC9331-5586-4F1C-9F54-29993BC8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fbaf75-75ef-4e58-9333-bcfb17412c97"/>
    <ds:schemaRef ds:uri="42c7bd50-a872-4c48-96a7-a648bfb97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2673</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LaRocque, Julie (MMA)</dc:creator>
  <cp:keywords/>
  <dc:description/>
  <cp:lastModifiedBy>Wesner, Mike (MMA)</cp:lastModifiedBy>
  <cp:revision>3</cp:revision>
  <dcterms:created xsi:type="dcterms:W3CDTF">2024-11-21T21:00:00Z</dcterms:created>
  <dcterms:modified xsi:type="dcterms:W3CDTF">2025-11-13T01:00:00Z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2022-09-22T20:52:43Z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f1341151-03f8-47b7-b5b3-dcc6fc7fcf96</vt:lpwstr>
  </property>
  <property fmtid="{D5CDD505-2E9C-101B-9397-08002B2CF9AE}" pid="8" name="MSIP_Label_38f1469a-2c2a-4aee-b92b-090d4c5468ff_ContentBits">
    <vt:lpwstr>0</vt:lpwstr>
  </property>
  <property fmtid="{D5CDD505-2E9C-101B-9397-08002B2CF9AE}" pid="9" name="ContentTypeId">
    <vt:lpwstr>0x0101007ABB19ECDA901E41B02E9504EA8A1A21</vt:lpwstr>
  </property>
</Properties>
</file>